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6"/>
        <w:pageBreakBefore w:val="0"/>
        <w:numPr>
          <w:ilvl w:val="0"/>
          <w:numId w:val="0"/>
        </w:numPr>
        <w:kinsoku/>
        <w:wordWrap/>
        <w:overflowPunct/>
        <w:topLinePunct w:val="0"/>
        <w:autoSpaceDE/>
        <w:autoSpaceDN/>
        <w:bidi w:val="0"/>
        <w:spacing w:before="0" w:beforeLines="0" w:beforeAutospacing="0" w:after="0" w:afterLines="0" w:afterAutospacing="0" w:line="600" w:lineRule="exact"/>
        <w:ind w:left="0" w:firstLine="0"/>
        <w:textAlignment w:val="auto"/>
        <w:rPr>
          <w:rFonts w:hint="eastAsia" w:ascii="方正小标宋简体" w:hAnsi="方正小标宋简体" w:eastAsia="方正小标宋简体"/>
          <w:color w:val="auto"/>
          <w:kern w:val="44"/>
          <w:sz w:val="44"/>
          <w:shd w:val="clear" w:color="auto" w:fill="FFFFFF"/>
        </w:rPr>
      </w:pPr>
    </w:p>
    <w:p>
      <w:pPr>
        <w:pStyle w:val="6"/>
        <w:pageBreakBefore w:val="0"/>
        <w:numPr>
          <w:ilvl w:val="0"/>
          <w:numId w:val="0"/>
        </w:numPr>
        <w:kinsoku/>
        <w:wordWrap/>
        <w:overflowPunct/>
        <w:topLinePunct w:val="0"/>
        <w:autoSpaceDE/>
        <w:autoSpaceDN/>
        <w:bidi w:val="0"/>
        <w:spacing w:before="0" w:beforeLines="0" w:beforeAutospacing="0" w:after="0" w:afterLines="0" w:afterAutospacing="0" w:line="600" w:lineRule="exact"/>
        <w:ind w:left="0" w:firstLine="0"/>
        <w:textAlignment w:val="auto"/>
        <w:rPr>
          <w:rFonts w:hint="eastAsia" w:ascii="方正小标宋简体" w:hAnsi="方正小标宋简体" w:eastAsia="方正小标宋简体"/>
          <w:color w:val="auto"/>
          <w:kern w:val="44"/>
          <w:sz w:val="44"/>
          <w:shd w:val="clear" w:color="auto" w:fill="FFFFFF"/>
        </w:rPr>
      </w:pPr>
      <w:r>
        <w:rPr>
          <w:rFonts w:hint="eastAsia" w:ascii="方正小标宋简体" w:hAnsi="方正小标宋简体" w:eastAsia="方正小标宋简体"/>
          <w:color w:val="auto"/>
          <w:kern w:val="44"/>
          <w:sz w:val="44"/>
          <w:shd w:val="clear" w:color="auto" w:fill="FFFFFF"/>
        </w:rPr>
        <w:t>知识产权纠纷多元化解及行政裁决效能</w:t>
      </w:r>
    </w:p>
    <w:p>
      <w:pPr>
        <w:pStyle w:val="6"/>
        <w:pageBreakBefore w:val="0"/>
        <w:numPr>
          <w:ilvl w:val="0"/>
          <w:numId w:val="0"/>
        </w:numPr>
        <w:kinsoku/>
        <w:wordWrap/>
        <w:overflowPunct/>
        <w:topLinePunct w:val="0"/>
        <w:autoSpaceDE/>
        <w:autoSpaceDN/>
        <w:bidi w:val="0"/>
        <w:spacing w:before="0" w:beforeLines="0" w:beforeAutospacing="0" w:after="0" w:afterLines="0" w:afterAutospacing="0" w:line="600" w:lineRule="exact"/>
        <w:ind w:left="0" w:firstLine="0"/>
        <w:textAlignment w:val="auto"/>
        <w:rPr>
          <w:rFonts w:hint="eastAsia" w:ascii="方正小标宋简体" w:hAnsi="方正小标宋简体" w:eastAsia="方正小标宋简体"/>
          <w:color w:val="auto"/>
          <w:kern w:val="44"/>
          <w:sz w:val="44"/>
          <w:shd w:val="clear" w:color="auto" w:fill="FFFFFF"/>
        </w:rPr>
      </w:pPr>
      <w:r>
        <w:rPr>
          <w:rFonts w:hint="eastAsia" w:ascii="方正小标宋简体" w:hAnsi="方正小标宋简体" w:eastAsia="方正小标宋简体"/>
          <w:color w:val="auto"/>
          <w:kern w:val="44"/>
          <w:sz w:val="44"/>
          <w:shd w:val="clear" w:color="auto" w:fill="FFFFFF"/>
        </w:rPr>
        <w:t>提升项目申报指南</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r>
        <w:rPr>
          <w:rFonts w:hint="eastAsia" w:eastAsia="黑体"/>
          <w:color w:val="auto"/>
          <w:sz w:val="32"/>
        </w:rPr>
        <w:t>一、项目名称</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olor w:val="auto"/>
          <w:sz w:val="32"/>
        </w:rPr>
      </w:pPr>
      <w:r>
        <w:rPr>
          <w:rFonts w:hint="eastAsia" w:eastAsia="仿宋_GB2312"/>
          <w:color w:val="auto"/>
          <w:sz w:val="32"/>
        </w:rPr>
        <w:t>知识产权纠纷多元化解及行政裁决效能提升项目</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r>
        <w:rPr>
          <w:rFonts w:hint="eastAsia" w:eastAsia="黑体"/>
          <w:color w:val="auto"/>
          <w:sz w:val="32"/>
        </w:rPr>
        <w:t>二、项目目标</w:t>
      </w:r>
    </w:p>
    <w:p>
      <w:pPr>
        <w:pageBreakBefore w:val="0"/>
        <w:kinsoku/>
        <w:wordWrap/>
        <w:overflowPunct/>
        <w:topLinePunct w:val="0"/>
        <w:autoSpaceDE/>
        <w:autoSpaceDN/>
        <w:bidi w:val="0"/>
        <w:spacing w:line="600" w:lineRule="exact"/>
        <w:ind w:firstLine="640" w:firstLineChars="200"/>
        <w:textAlignment w:val="auto"/>
        <w:rPr>
          <w:rFonts w:hint="eastAsia" w:eastAsia="仿宋_GB2312"/>
          <w:color w:val="auto"/>
          <w:sz w:val="32"/>
        </w:rPr>
      </w:pPr>
      <w:r>
        <w:rPr>
          <w:rFonts w:hint="eastAsia" w:eastAsia="仿宋_GB2312"/>
          <w:color w:val="auto"/>
          <w:sz w:val="32"/>
        </w:rPr>
        <w:t>完善知识产权纠纷多元化解决机制，大力开展知识产权纠纷调解工作，为中小企业提供专利、商标等领域的维权援助服务，推动知识产权调解</w:t>
      </w:r>
      <w:r>
        <w:rPr>
          <w:rFonts w:hint="eastAsia" w:eastAsia="仿宋_GB2312"/>
          <w:color w:val="auto"/>
          <w:sz w:val="32"/>
          <w:lang w:eastAsia="zh-CN"/>
        </w:rPr>
        <w:t>、</w:t>
      </w:r>
      <w:r>
        <w:rPr>
          <w:rFonts w:hint="eastAsia" w:eastAsia="仿宋_GB2312"/>
          <w:color w:val="auto"/>
          <w:sz w:val="32"/>
        </w:rPr>
        <w:t>仲裁</w:t>
      </w:r>
      <w:r>
        <w:rPr>
          <w:rFonts w:hint="eastAsia" w:eastAsia="仿宋_GB2312"/>
          <w:color w:val="auto"/>
          <w:sz w:val="32"/>
          <w:lang w:eastAsia="zh-CN"/>
        </w:rPr>
        <w:t>、</w:t>
      </w:r>
      <w:r>
        <w:rPr>
          <w:rFonts w:hint="eastAsia" w:eastAsia="仿宋_GB2312"/>
          <w:color w:val="auto"/>
          <w:sz w:val="32"/>
        </w:rPr>
        <w:t>公证。推动专利侵权纠纷行政裁决与市场监管综合行政执法融合，加强知识产权行政裁决队伍专业化、职业化建设，加大专利侵权纠纷行政裁决力度，提升行政裁决效能。</w:t>
      </w:r>
    </w:p>
    <w:p>
      <w:pPr>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olor w:val="auto"/>
          <w:sz w:val="32"/>
        </w:rPr>
      </w:pPr>
      <w:r>
        <w:rPr>
          <w:rFonts w:hint="eastAsia" w:eastAsia="黑体"/>
          <w:color w:val="auto"/>
          <w:sz w:val="32"/>
        </w:rPr>
        <w:t>三、项目任务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0"/>
          <w:sz w:val="32"/>
          <w:szCs w:val="32"/>
          <w:shd w:val="clear" w:color="auto" w:fill="FFFFFF"/>
          <w:lang w:val="en-US" w:eastAsia="zh-CN" w:bidi="ar-SA"/>
        </w:rPr>
        <w:t>落实知识产权纠纷诉调对接、仲调对接等工作机制，</w:t>
      </w:r>
      <w:r>
        <w:rPr>
          <w:rFonts w:hint="eastAsia" w:ascii="仿宋_GB2312" w:hAnsi="仿宋_GB2312" w:eastAsia="仿宋_GB2312" w:cs="仿宋_GB2312"/>
          <w:color w:val="auto"/>
          <w:sz w:val="32"/>
          <w:szCs w:val="32"/>
        </w:rPr>
        <w:t>协助</w:t>
      </w:r>
      <w:r>
        <w:rPr>
          <w:rFonts w:hint="eastAsia" w:ascii="仿宋_GB2312" w:hAnsi="仿宋_GB2312" w:eastAsia="仿宋_GB2312" w:cs="仿宋_GB2312"/>
          <w:color w:val="auto"/>
          <w:sz w:val="32"/>
          <w:szCs w:val="32"/>
          <w:lang w:eastAsia="zh-CN"/>
        </w:rPr>
        <w:t>河源市的</w:t>
      </w:r>
      <w:r>
        <w:rPr>
          <w:rFonts w:hint="eastAsia" w:ascii="仿宋_GB2312" w:hAnsi="仿宋_GB2312" w:eastAsia="仿宋_GB2312" w:cs="仿宋_GB2312"/>
          <w:color w:val="auto"/>
          <w:sz w:val="32"/>
          <w:szCs w:val="32"/>
        </w:rPr>
        <w:t>行政</w:t>
      </w:r>
      <w:r>
        <w:rPr>
          <w:rFonts w:hint="eastAsia" w:ascii="仿宋_GB2312" w:hAnsi="仿宋_GB2312" w:eastAsia="仿宋_GB2312" w:cs="仿宋_GB2312"/>
          <w:color w:val="auto"/>
          <w:sz w:val="32"/>
          <w:szCs w:val="32"/>
          <w:lang w:eastAsia="zh-CN"/>
        </w:rPr>
        <w:t>和司法部门</w:t>
      </w:r>
      <w:r>
        <w:rPr>
          <w:rFonts w:hint="eastAsia" w:ascii="仿宋_GB2312" w:hAnsi="仿宋_GB2312" w:eastAsia="仿宋_GB2312" w:cs="仿宋_GB2312"/>
          <w:color w:val="auto"/>
          <w:kern w:val="0"/>
          <w:sz w:val="32"/>
          <w:szCs w:val="32"/>
          <w:shd w:val="clear" w:color="auto" w:fill="FFFFFF"/>
          <w:lang w:val="en-US" w:eastAsia="zh-CN" w:bidi="ar-SA"/>
        </w:rPr>
        <w:t>开展知识产权纠纷调解20次以上，提供相应的调解文书或记录。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充分发挥</w:t>
      </w:r>
      <w:r>
        <w:rPr>
          <w:rFonts w:hint="eastAsia" w:ascii="仿宋_GB2312" w:hAnsi="仿宋_GB2312" w:eastAsia="仿宋_GB2312" w:cs="仿宋_GB2312"/>
          <w:color w:val="auto"/>
          <w:sz w:val="32"/>
          <w:szCs w:val="32"/>
          <w:lang w:val="en-US" w:eastAsia="zh-CN"/>
        </w:rPr>
        <w:t>河源市已建成的知识产权维权援助工作站点作用，精准对接创新主体的需求，配合各知识产权维权援助机构</w:t>
      </w:r>
      <w:r>
        <w:rPr>
          <w:rFonts w:hint="eastAsia" w:ascii="仿宋_GB2312" w:hAnsi="仿宋_GB2312" w:eastAsia="仿宋_GB2312" w:cs="仿宋_GB2312"/>
          <w:color w:val="auto"/>
          <w:kern w:val="0"/>
          <w:sz w:val="32"/>
          <w:szCs w:val="32"/>
          <w:shd w:val="clear" w:color="auto" w:fill="FFFFFF"/>
          <w:lang w:val="en-US" w:eastAsia="zh-CN" w:bidi="ar-SA"/>
        </w:rPr>
        <w:t>为中小企业提供专利、商标、地理标志等领域的维权援助服务，办理维权援助案件25宗以上，并形成相应记录文件</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（三）以印发宣传手册或开展宣传咨询活动等方式，协助河源市有关部门和机构加强</w:t>
      </w:r>
      <w:r>
        <w:rPr>
          <w:rFonts w:hint="eastAsia" w:ascii="仿宋_GB2312" w:hAnsi="仿宋_GB2312" w:eastAsia="仿宋_GB2312" w:cs="仿宋_GB2312"/>
          <w:color w:val="auto"/>
          <w:kern w:val="0"/>
          <w:sz w:val="32"/>
          <w:szCs w:val="32"/>
          <w:shd w:val="clear" w:color="auto" w:fill="FFFFFF"/>
          <w:lang w:val="en-US" w:eastAsia="zh-CN" w:bidi="ar-SA"/>
        </w:rPr>
        <w:t>知识产权纠纷行政裁决及调解、仲裁、公证</w:t>
      </w:r>
      <w:r>
        <w:rPr>
          <w:rFonts w:hint="eastAsia" w:ascii="仿宋_GB2312" w:hAnsi="仿宋_GB2312" w:eastAsia="仿宋_GB2312" w:cs="仿宋_GB2312"/>
          <w:color w:val="auto"/>
          <w:sz w:val="32"/>
          <w:szCs w:val="32"/>
          <w:lang w:eastAsia="zh-CN"/>
        </w:rPr>
        <w:t>的宣传，提升创新主体积极利用行政裁决、调解、仲裁等方式化解知识产权纠纷的意识。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（四）协助河源市知识产权行政管理部门开展专利侵权纠纷行政裁决培训不少于1场，人数不少于</w:t>
      </w:r>
      <w:r>
        <w:rPr>
          <w:rFonts w:hint="eastAsia" w:ascii="仿宋_GB2312" w:hAnsi="仿宋_GB2312" w:eastAsia="仿宋_GB2312" w:cs="仿宋_GB2312"/>
          <w:color w:val="auto"/>
          <w:sz w:val="32"/>
          <w:szCs w:val="32"/>
          <w:lang w:val="en-US" w:eastAsia="zh-CN"/>
        </w:rPr>
        <w:t>30人</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（五）协助河源市知识产权行政管理部门开展专利侵权纠纷行政裁决案例评选活动、办案经验交流活动各不少于1次</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sz w:val="32"/>
          <w:szCs w:val="32"/>
          <w:lang w:eastAsia="zh-CN"/>
        </w:rPr>
        <w:t>（六）根据河源市知识产权行政管理部门工作需要，为专利侵权判定提供技术咨询服务。</w:t>
      </w:r>
      <w:bookmarkStart w:id="0" w:name="_GoBack"/>
      <w:bookmarkEnd w:id="0"/>
    </w:p>
    <w:p>
      <w:pPr>
        <w:pStyle w:val="2"/>
        <w:pageBreakBefore w:val="0"/>
        <w:numPr>
          <w:ilvl w:val="0"/>
          <w:numId w:val="0"/>
        </w:numPr>
        <w:kinsoku/>
        <w:wordWrap/>
        <w:overflowPunct/>
        <w:topLinePunct w:val="0"/>
        <w:autoSpaceDE/>
        <w:autoSpaceDN/>
        <w:bidi w:val="0"/>
        <w:spacing w:line="600" w:lineRule="exact"/>
        <w:ind w:left="0" w:firstLine="640"/>
        <w:textAlignment w:val="auto"/>
        <w:rPr>
          <w:rFonts w:hint="eastAsia" w:eastAsia="黑体"/>
          <w:color w:val="auto"/>
          <w:sz w:val="32"/>
          <w:lang w:eastAsia="zh-CN"/>
        </w:rPr>
      </w:pPr>
      <w:r>
        <w:rPr>
          <w:rFonts w:hint="eastAsia" w:eastAsia="黑体"/>
          <w:color w:val="auto"/>
          <w:sz w:val="32"/>
        </w:rPr>
        <w:t>四、申报主体</w:t>
      </w:r>
      <w:r>
        <w:rPr>
          <w:rFonts w:hint="eastAsia"/>
          <w:color w:val="auto"/>
          <w:sz w:val="32"/>
          <w:lang w:eastAsia="zh-CN"/>
        </w:rPr>
        <w:t>及条件</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境内依法登记注册、具备合法资质的企事业单位</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社会组织、非法人组织等，拥有</w:t>
      </w:r>
      <w:r>
        <w:rPr>
          <w:rFonts w:hint="eastAsia" w:ascii="仿宋_GB2312" w:hAnsi="仿宋_GB2312" w:eastAsia="仿宋_GB2312"/>
          <w:color w:val="auto"/>
          <w:sz w:val="32"/>
        </w:rPr>
        <w:t>开展知识产权纠纷多元化解工作</w:t>
      </w:r>
      <w:r>
        <w:rPr>
          <w:rFonts w:hint="eastAsia" w:ascii="仿宋_GB2312" w:hAnsi="仿宋_GB2312" w:eastAsia="仿宋_GB2312"/>
          <w:color w:val="auto"/>
          <w:sz w:val="32"/>
          <w:lang w:eastAsia="zh-CN"/>
        </w:rPr>
        <w:t>的实践经验，具备</w:t>
      </w:r>
      <w:r>
        <w:rPr>
          <w:rFonts w:hint="eastAsia" w:ascii="仿宋_GB2312" w:hAnsi="仿宋_GB2312" w:eastAsia="仿宋_GB2312" w:cs="仿宋_GB2312"/>
          <w:color w:val="auto"/>
          <w:sz w:val="32"/>
          <w:szCs w:val="32"/>
          <w:lang w:eastAsia="zh-CN"/>
        </w:rPr>
        <w:t>提供专利侵权判定技术咨询服务以及邀请专家开展相关培训的能力</w:t>
      </w:r>
      <w:r>
        <w:rPr>
          <w:rFonts w:hint="eastAsia" w:ascii="仿宋_GB2312" w:hAnsi="仿宋_GB2312" w:eastAsia="仿宋_GB2312"/>
          <w:color w:val="auto"/>
          <w:sz w:val="32"/>
          <w:lang w:val="en-US" w:eastAsia="zh-CN"/>
        </w:rPr>
        <w:t>。</w:t>
      </w:r>
    </w:p>
    <w:p>
      <w:pPr>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olor w:val="auto"/>
          <w:sz w:val="32"/>
        </w:rPr>
      </w:pPr>
      <w:r>
        <w:rPr>
          <w:rFonts w:hint="eastAsia" w:ascii="黑体" w:hAnsi="黑体" w:eastAsia="黑体"/>
          <w:color w:val="auto"/>
          <w:sz w:val="32"/>
        </w:rPr>
        <w:t>五、申报材料</w:t>
      </w:r>
    </w:p>
    <w:p>
      <w:pPr>
        <w:pageBreakBefore w:val="0"/>
        <w:kinsoku/>
        <w:wordWrap/>
        <w:overflowPunct/>
        <w:topLinePunct w:val="0"/>
        <w:autoSpaceDE/>
        <w:autoSpaceDN/>
        <w:bidi w:val="0"/>
        <w:spacing w:line="600" w:lineRule="exact"/>
        <w:ind w:firstLine="640" w:firstLineChars="200"/>
        <w:textAlignment w:val="auto"/>
        <w:rPr>
          <w:rFonts w:hint="eastAsia"/>
          <w:color w:val="auto"/>
          <w:sz w:val="32"/>
          <w:szCs w:val="32"/>
        </w:rPr>
      </w:pPr>
      <w:r>
        <w:rPr>
          <w:rFonts w:hint="eastAsia" w:eastAsia="仿宋_GB2312"/>
          <w:color w:val="auto"/>
          <w:sz w:val="32"/>
          <w:szCs w:val="32"/>
        </w:rPr>
        <w:t>（一）《</w:t>
      </w:r>
      <w:r>
        <w:rPr>
          <w:rFonts w:hint="eastAsia" w:ascii="仿宋_GB2312" w:hAnsi="仿宋_GB2312" w:eastAsia="仿宋_GB2312"/>
          <w:color w:val="auto"/>
          <w:sz w:val="32"/>
          <w:szCs w:val="32"/>
        </w:rPr>
        <w:t>2025年河源市知识产权项目申报书</w:t>
      </w:r>
      <w:r>
        <w:rPr>
          <w:rFonts w:hint="eastAsia" w:eastAsia="仿宋_GB2312"/>
          <w:color w:val="auto"/>
          <w:sz w:val="32"/>
          <w:szCs w:val="32"/>
        </w:rPr>
        <w:t>》；</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eastAsia="仿宋_GB2312"/>
          <w:color w:val="auto"/>
          <w:sz w:val="32"/>
          <w:szCs w:val="32"/>
        </w:rPr>
        <w:t>（二）</w:t>
      </w:r>
      <w:r>
        <w:rPr>
          <w:rFonts w:hint="eastAsia" w:ascii="仿宋_GB2312" w:hAnsi="仿宋_GB2312" w:eastAsia="仿宋_GB2312" w:cs="仿宋_GB2312"/>
          <w:color w:val="auto"/>
          <w:sz w:val="32"/>
          <w:szCs w:val="32"/>
        </w:rPr>
        <w:t>主体资格登记证明、银行开户许可证复印件；</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lang w:eastAsia="zh-CN"/>
        </w:rPr>
      </w:pPr>
      <w:r>
        <w:rPr>
          <w:rFonts w:hint="eastAsia" w:eastAsia="仿宋_GB2312"/>
          <w:color w:val="auto"/>
          <w:kern w:val="2"/>
          <w:sz w:val="32"/>
          <w:szCs w:val="32"/>
        </w:rPr>
        <w:t>（三）</w:t>
      </w:r>
      <w:r>
        <w:rPr>
          <w:rFonts w:hint="eastAsia" w:ascii="仿宋_GB2312" w:hAnsi="仿宋_GB2312" w:eastAsia="仿宋_GB2312" w:cs="仿宋_GB2312"/>
          <w:color w:val="auto"/>
          <w:kern w:val="2"/>
          <w:sz w:val="32"/>
          <w:szCs w:val="32"/>
          <w:lang w:eastAsia="zh-CN"/>
        </w:rPr>
        <w:t>近两年的财务报表；</w:t>
      </w:r>
    </w:p>
    <w:p>
      <w:pPr>
        <w:pageBreakBefore w:val="0"/>
        <w:kinsoku/>
        <w:wordWrap/>
        <w:overflowPunct/>
        <w:topLinePunct w:val="0"/>
        <w:autoSpaceDE/>
        <w:autoSpaceDN/>
        <w:bidi w:val="0"/>
        <w:spacing w:line="600" w:lineRule="exact"/>
        <w:ind w:firstLine="640" w:firstLineChars="200"/>
        <w:textAlignment w:val="auto"/>
        <w:rPr>
          <w:rFonts w:hint="eastAsia" w:eastAsia="仿宋_GB2312"/>
          <w:color w:val="auto"/>
          <w:kern w:val="2"/>
          <w:sz w:val="32"/>
          <w:szCs w:val="32"/>
          <w:lang w:eastAsia="zh-CN"/>
        </w:rPr>
      </w:pPr>
      <w:r>
        <w:rPr>
          <w:rFonts w:hint="eastAsia" w:eastAsia="仿宋_GB2312"/>
          <w:color w:val="auto"/>
          <w:kern w:val="2"/>
          <w:sz w:val="32"/>
          <w:szCs w:val="32"/>
          <w:lang w:eastAsia="zh-CN"/>
        </w:rPr>
        <w:t>（四）</w:t>
      </w:r>
      <w:r>
        <w:rPr>
          <w:rFonts w:hint="eastAsia" w:ascii="仿宋_GB2312" w:hAnsi="仿宋_GB2312" w:eastAsia="仿宋_GB2312" w:cs="仿宋_GB2312"/>
          <w:color w:val="auto"/>
          <w:sz w:val="32"/>
          <w:szCs w:val="32"/>
        </w:rPr>
        <w:t>申报条件要求的资质和经验证明材料</w:t>
      </w:r>
      <w:r>
        <w:rPr>
          <w:rFonts w:hint="eastAsia" w:eastAsia="仿宋_GB2312"/>
          <w:color w:val="auto"/>
          <w:kern w:val="2"/>
          <w:sz w:val="32"/>
          <w:szCs w:val="32"/>
          <w:lang w:eastAsia="zh-CN"/>
        </w:rPr>
        <w:t>；</w:t>
      </w:r>
    </w:p>
    <w:p>
      <w:pPr>
        <w:pageBreakBefore w:val="0"/>
        <w:kinsoku/>
        <w:wordWrap/>
        <w:overflowPunct/>
        <w:topLinePunct w:val="0"/>
        <w:autoSpaceDE/>
        <w:autoSpaceDN/>
        <w:bidi w:val="0"/>
        <w:spacing w:line="600" w:lineRule="exact"/>
        <w:ind w:firstLine="640" w:firstLineChars="200"/>
        <w:textAlignment w:val="auto"/>
        <w:rPr>
          <w:rFonts w:hint="eastAsia" w:eastAsia="仿宋_GB2312"/>
          <w:color w:val="auto"/>
          <w:kern w:val="2"/>
          <w:sz w:val="32"/>
          <w:szCs w:val="32"/>
          <w:lang w:eastAsia="zh-CN"/>
        </w:rPr>
      </w:pPr>
      <w:r>
        <w:rPr>
          <w:rFonts w:hint="eastAsia" w:eastAsia="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五）其他证明申报单位优势的佐证材料</w:t>
      </w:r>
      <w:r>
        <w:rPr>
          <w:rFonts w:hint="eastAsia" w:eastAsia="仿宋_GB2312"/>
          <w:color w:val="auto"/>
          <w:kern w:val="2"/>
          <w:sz w:val="32"/>
          <w:szCs w:val="32"/>
          <w:lang w:eastAsia="zh-CN"/>
        </w:rPr>
        <w:t>。</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上</w:t>
      </w:r>
      <w:r>
        <w:rPr>
          <w:rFonts w:hint="eastAsia" w:ascii="仿宋_GB2312" w:hAnsi="仿宋_GB2312" w:eastAsia="仿宋_GB2312" w:cs="仿宋_GB2312"/>
          <w:color w:val="auto"/>
          <w:kern w:val="2"/>
          <w:sz w:val="32"/>
          <w:szCs w:val="32"/>
          <w:lang w:eastAsia="zh-CN"/>
        </w:rPr>
        <w:t>述</w:t>
      </w:r>
      <w:r>
        <w:rPr>
          <w:rFonts w:hint="eastAsia" w:ascii="仿宋_GB2312" w:hAnsi="仿宋_GB2312" w:eastAsia="仿宋_GB2312" w:cs="仿宋_GB2312"/>
          <w:color w:val="auto"/>
          <w:kern w:val="2"/>
          <w:sz w:val="32"/>
          <w:szCs w:val="32"/>
        </w:rPr>
        <w:t>材料均需加盖公章并在申报</w:t>
      </w:r>
      <w:r>
        <w:rPr>
          <w:rFonts w:hint="eastAsia" w:ascii="仿宋_GB2312" w:hAnsi="仿宋_GB2312" w:eastAsia="仿宋_GB2312" w:cs="仿宋_GB2312"/>
          <w:color w:val="auto"/>
          <w:kern w:val="2"/>
          <w:sz w:val="32"/>
          <w:szCs w:val="32"/>
          <w:lang w:eastAsia="zh-CN"/>
        </w:rPr>
        <w:t>材料</w:t>
      </w:r>
      <w:r>
        <w:rPr>
          <w:rFonts w:hint="eastAsia" w:ascii="仿宋_GB2312" w:hAnsi="仿宋_GB2312" w:eastAsia="仿宋_GB2312" w:cs="仿宋_GB2312"/>
          <w:color w:val="auto"/>
          <w:kern w:val="2"/>
          <w:sz w:val="32"/>
          <w:szCs w:val="32"/>
        </w:rPr>
        <w:t>加盖骑缝章。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项，支持额度预计为</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eastAsia="zh-CN"/>
        </w:rPr>
        <w:t>万元。所有项目任务原则上需在202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年完成。</w:t>
      </w:r>
    </w:p>
    <w:sectPr>
      <w:pgSz w:w="11906" w:h="16838"/>
      <w:pgMar w:top="1531" w:right="1576"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宋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6C3B699C"/>
    <w:rsid w:val="022D234C"/>
    <w:rsid w:val="07D65E5B"/>
    <w:rsid w:val="07F86297"/>
    <w:rsid w:val="0A0B6BE5"/>
    <w:rsid w:val="13834646"/>
    <w:rsid w:val="1465174E"/>
    <w:rsid w:val="14E16DFA"/>
    <w:rsid w:val="265F4AEE"/>
    <w:rsid w:val="2F335BF6"/>
    <w:rsid w:val="32F80280"/>
    <w:rsid w:val="34D55093"/>
    <w:rsid w:val="35623C8F"/>
    <w:rsid w:val="36F22A73"/>
    <w:rsid w:val="374DCFCC"/>
    <w:rsid w:val="3DFD51D7"/>
    <w:rsid w:val="4F034448"/>
    <w:rsid w:val="4F515ACE"/>
    <w:rsid w:val="4F8A0470"/>
    <w:rsid w:val="52A909FB"/>
    <w:rsid w:val="52F06A51"/>
    <w:rsid w:val="582C2DC7"/>
    <w:rsid w:val="58EB5BBE"/>
    <w:rsid w:val="5CFD2D6C"/>
    <w:rsid w:val="5F9D08C8"/>
    <w:rsid w:val="5FF75FC2"/>
    <w:rsid w:val="635519BD"/>
    <w:rsid w:val="63F768C6"/>
    <w:rsid w:val="65ED5014"/>
    <w:rsid w:val="6788762A"/>
    <w:rsid w:val="67BFFFFB"/>
    <w:rsid w:val="6A2A0A1B"/>
    <w:rsid w:val="6A5C1149"/>
    <w:rsid w:val="6AC46A83"/>
    <w:rsid w:val="6BF3172E"/>
    <w:rsid w:val="6C3B699C"/>
    <w:rsid w:val="6E3C0327"/>
    <w:rsid w:val="72625F8D"/>
    <w:rsid w:val="797790BF"/>
    <w:rsid w:val="7E2F89B3"/>
    <w:rsid w:val="7E7C66D1"/>
    <w:rsid w:val="7FF31A82"/>
    <w:rsid w:val="873D30A0"/>
    <w:rsid w:val="93760F5E"/>
    <w:rsid w:val="9FFA627D"/>
    <w:rsid w:val="A1FE1F07"/>
    <w:rsid w:val="AA7D0303"/>
    <w:rsid w:val="AAFFB76C"/>
    <w:rsid w:val="AFFDEED2"/>
    <w:rsid w:val="BEF940A6"/>
    <w:rsid w:val="DAE7E88A"/>
    <w:rsid w:val="EE2F718F"/>
    <w:rsid w:val="EFCC28A7"/>
    <w:rsid w:val="F9FB096E"/>
    <w:rsid w:val="FDE81E29"/>
    <w:rsid w:val="FF7D7304"/>
    <w:rsid w:val="FFB9792A"/>
    <w:rsid w:val="FFE14ED9"/>
    <w:rsid w:val="FFF3DDB1"/>
    <w:rsid w:val="FFFD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样式1"/>
    <w:basedOn w:val="2"/>
    <w:unhideWhenUsed/>
    <w:qFormat/>
    <w:uiPriority w:val="0"/>
    <w:pPr>
      <w:widowControl/>
      <w:adjustRightInd w:val="0"/>
      <w:snapToGrid w:val="0"/>
      <w:spacing w:before="100" w:beforeLines="0" w:beforeAutospacing="1" w:after="100" w:afterLines="0" w:afterAutospacing="1" w:line="640" w:lineRule="exact"/>
      <w:jc w:val="center"/>
    </w:pPr>
    <w:rPr>
      <w:rFonts w:hint="eastAsia" w:ascii="小标宋" w:eastAsia="小标宋"/>
      <w:color w:val="000000"/>
      <w:kern w:val="0"/>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557</Words>
  <Characters>561</Characters>
  <Lines>0</Lines>
  <Paragraphs>0</Paragraphs>
  <TotalTime>2</TotalTime>
  <ScaleCrop>false</ScaleCrop>
  <LinksUpToDate>false</LinksUpToDate>
  <CharactersWithSpaces>561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2022-09-17T11:15:00Z</dcterms:created>
  <dc:creator>逗逗奇迹柒七一</dc:creator>
  <cp:lastModifiedBy>dxkj</cp:lastModifiedBy>
  <dcterms:modified xsi:type="dcterms:W3CDTF">2025-02-06T10:03:38Z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7C9CE236CDF8488FA1D375A4A905AC2F</vt:lpwstr>
  </property>
</Properties>
</file>